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Brainstorming exemple</w:t>
      </w:r>
    </w:p>
    <w:p>
      <w:r>
        <w:t xml:space="preserve">Voici un exemple de brainstorming pour un projet de communication du ministère de la Transition écologique sur la thématique « prévention des feux de forêts ».</w:t>
      </w:r>
    </w:p>
    <w:p>
      <w:r>
        <w:t xml:space="preserve">Idées de messages clés</w:t>
      </w:r>
    </w:p>
    <w:p>
      <w:r>
        <w:t xml:space="preserve">- 9 feux sur 10 sont d’origine humaine : chacun peut éviter un incendie.</w:t>
      </w:r>
    </w:p>
    <w:p>
      <w:r>
        <w:t xml:space="preserve">- Les bons gestes sauvent des vies, des maisons et des écosystèmes.</w:t>
      </w:r>
    </w:p>
    <w:p>
      <w:r>
        <w:t xml:space="preserve">- Prévenir un feu, c’est protéger la biodiversité et le climat.</w:t>
      </w:r>
    </w:p>
    <w:p>
      <w:r>
        <w:t xml:space="preserve">- Face à la sécheresse et au changement climatique, la vigilance doit augmenter.</w:t>
      </w:r>
    </w:p>
    <w:p>
      <w:r>
        <w:t xml:space="preserve">Publics cibles</w:t>
      </w:r>
    </w:p>
    <w:p>
      <w:r>
        <w:t xml:space="preserve">- Habitants en zones forestières et périurbaines.</w:t>
      </w:r>
    </w:p>
    <w:p>
      <w:r>
        <w:t xml:space="preserve">- Touristes et randonneurs.</w:t>
      </w:r>
    </w:p>
    <w:p>
      <w:r>
        <w:t xml:space="preserve">- Agriculteurs et professionnels du plein air.</w:t>
      </w:r>
    </w:p>
    <w:p>
      <w:r>
        <w:t xml:space="preserve">- Jeunes publics (écoles, collèges).</w:t>
      </w:r>
    </w:p>
    <w:p>
      <w:r>
        <w:t xml:space="preserve">- Automobilistes et usagers de la route.</w:t>
      </w:r>
    </w:p>
    <w:p>
      <w:r>
        <w:t xml:space="preserve">- Collectivités locales.</w:t>
      </w:r>
    </w:p>
    <w:p>
      <w:r>
        <w:t xml:space="preserve">Canaux de communication</w:t>
      </w:r>
    </w:p>
    <w:p>
      <w:r>
        <w:t xml:space="preserve">- Campagnes TV et radio en période estivale.</w:t>
      </w:r>
    </w:p>
    <w:p>
      <w:r>
        <w:t xml:space="preserve">- Réseaux sociaux : vidéos courtes, infographies, témoignages.</w:t>
      </w:r>
    </w:p>
    <w:p>
      <w:r>
        <w:t xml:space="preserve">- Affichage sur autoroutes, gares, plages, campings.</w:t>
      </w:r>
    </w:p>
    <w:p>
      <w:r>
        <w:t xml:space="preserve">- Partenariats avec influenceurs outdoor.</w:t>
      </w:r>
    </w:p>
    <w:p>
      <w:r>
        <w:t xml:space="preserve">- Paquets d’allumettes, briquets, sacs kraft en grande distribution avec messages de prévention.</w:t>
      </w:r>
    </w:p>
    <w:p>
      <w:r>
        <w:t xml:space="preserve">- Interventions dans les écoles et centres de loisirs.</w:t>
      </w:r>
    </w:p>
    <w:p>
      <w:r>
        <w:t xml:space="preserve">- Plateforme web dédiée avec carte du risque, gestes à adopter et signalements.</w:t>
      </w:r>
    </w:p>
    <w:p>
      <w:r>
        <w:t xml:space="preserve">Idées de contenus</w:t>
      </w:r>
    </w:p>
    <w:p>
      <w:r>
        <w:t xml:space="preserve">- Vidéos montrant les conséquences réelles d’un foyer mal éteint.</w:t>
      </w:r>
    </w:p>
    <w:p>
      <w:r>
        <w:t xml:space="preserve">- Mini-série « Les gestes qui sauvent la forêt » : éteindre un barbecue, ne pas jeter de mégots, débroussailler.</w:t>
      </w:r>
    </w:p>
    <w:p>
      <w:r>
        <w:t xml:space="preserve">- Témoignages de pompiers et habitants ayant vécu un incendie.</w:t>
      </w:r>
    </w:p>
    <w:p>
      <w:r>
        <w:t xml:space="preserve">- Challenge sur réseaux sociaux : #JeProtègeMaForêt.</w:t>
      </w:r>
    </w:p>
    <w:p>
      <w:r>
        <w:t xml:space="preserve">- Quiz interactif sur les réflexes à adopter.</w:t>
      </w:r>
    </w:p>
    <w:p>
      <w:r>
        <w:t xml:space="preserve">- Simulation visuelle « Un mégot = une forêt détruite en X minutes ».</w:t>
      </w:r>
    </w:p>
    <w:p>
      <w:r>
        <w:t xml:space="preserve">Actions de terrain</w:t>
      </w:r>
    </w:p>
    <w:p>
      <w:r>
        <w:t xml:space="preserve">- Distribution de kits de prévention dans les campings et offices de tourisme.</w:t>
      </w:r>
    </w:p>
    <w:p>
      <w:r>
        <w:t xml:space="preserve">- Ateliers de débroussaillage pédagogique avec les communes.</w:t>
      </w:r>
    </w:p>
    <w:p>
      <w:r>
        <w:t xml:space="preserve">- Stands mobiles dans les zones sensibles pendant les week-ends estivaux.</w:t>
      </w:r>
    </w:p>
    <w:p>
      <w:r>
        <w:t xml:space="preserve">- Collaboration avec les SDIS pour des démonstrations.</w:t>
      </w:r>
    </w:p>
    <w:p>
      <w:r>
        <w:t xml:space="preserve">Slogans possibles</w:t>
      </w:r>
    </w:p>
    <w:p>
      <w:r>
        <w:t xml:space="preserve">- « Cet été, la forêt compte sur vous. »</w:t>
      </w:r>
    </w:p>
    <w:p>
      <w:r>
        <w:t xml:space="preserve">- « Un geste simple peut éviter un drame. »</w:t>
      </w:r>
    </w:p>
    <w:p>
      <w:r>
        <w:t xml:space="preserve">- « Le feu détruit tout. Ensemble, empêchons-le. »</w:t>
      </w:r>
    </w:p>
    <w:p>
      <w:r>
        <w:t xml:space="preserve">- « Prévenir les feux, c’est protéger la vie. »</w:t>
      </w:r>
    </w:p>
    <w:p>
      <w:r>
        <w:t xml:space="preserve">Mesures de réussite</w:t>
      </w:r>
    </w:p>
    <w:p>
      <w:r>
        <w:t xml:space="preserve">- Réduction du nombre de départs de feux d’origine humaine.</w:t>
      </w:r>
    </w:p>
    <w:p>
      <w:r>
        <w:t xml:space="preserve">- Taux d’engagement sur les réseaux sociaux.</w:t>
      </w:r>
    </w:p>
    <w:p>
      <w:r>
        <w:t xml:space="preserve">- Nombre de communes partenaires.</w:t>
      </w:r>
    </w:p>
    <w:p>
      <w:r>
        <w:t xml:space="preserve">- Évolution de la connaissance des bons gestes chez le public.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family w:val="auto"/>
    <w:pitch w:val="variable"/>
    <w:sig w:usb0="E0002AFF" w:usb1="C000247B" w:usb2="00000009" w:usb3="00000000" w:csb0="000001FF" w:csb1="00000000"/>
    <w:embedRegular r:id="rId1" w:fontKey="{814bc865-cac2-4adc-c0d2-c9044eb23be4}"/>
  </w:font>
  <w:font w:name="GeistMono">
    <w:family w:val="auto"/>
    <w:pitch w:val="variable"/>
    <w:sig w:usb0="E0002AFF" w:usb1="C000247B" w:usb2="00000009" w:usb3="00000000" w:csb0="000001FF" w:csb1="00000000"/>
    <w:embedRegular r:id="rId2" w:fontKey="{1aff1de8-1402-858e-a02e-0b47483f13f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</w:lvl>
    <w:lvl w:ilvl="1" w15:tentative="1">
      <w:start w:val="1"/>
      <w:numFmt w:val="decimal"/>
      <w:lvlText w:val="%2."/>
      <w:lvlJc w:val="left"/>
      <w:pPr>
        <w:ind w:left="720" w:hanging="360"/>
      </w:pPr>
    </w:lvl>
    <w:lvl w:ilvl="2" w15:tentative="1">
      <w:start w:val="1"/>
      <w:numFmt w:val="decimal"/>
      <w:lvlText w:val="%3."/>
      <w:lvlJc w:val="left"/>
      <w:pPr>
        <w:ind w:left="1080" w:hanging="360"/>
      </w:pPr>
    </w:lvl>
    <w:lvl w:ilvl="3" w15:tentative="1">
      <w:start w:val="1"/>
      <w:numFmt w:val="decimal"/>
      <w:lvlText w:val="%4."/>
      <w:lvlJc w:val="left"/>
      <w:pPr>
        <w:ind w:left="1440" w:hanging="360"/>
      </w:pPr>
    </w:lvl>
    <w:lvl w:ilvl="4" w15:tentative="1">
      <w:start w:val="1"/>
      <w:numFmt w:val="decimal"/>
      <w:lvlText w:val="%5."/>
      <w:lvlJc w:val="left"/>
      <w:pPr>
        <w:ind w:left="1800" w:hanging="360"/>
      </w:pPr>
    </w:lvl>
    <w:lvl w:ilvl="5" w15:tentative="1">
      <w:start w:val="1"/>
      <w:numFmt w:val="decimal"/>
      <w:lvlText w:val="%6."/>
      <w:lvlJc w:val="left"/>
      <w:pPr>
        <w:ind w:left="2160" w:hanging="360"/>
      </w:pPr>
    </w:lvl>
    <w:lvl w:ilvl="6" w15:tentative="1">
      <w:start w:val="1"/>
      <w:numFmt w:val="decimal"/>
      <w:lvlText w:val="%7."/>
      <w:lvlJc w:val="left"/>
      <w:pPr>
        <w:ind w:left="2520" w:hanging="360"/>
      </w:pPr>
    </w:lvl>
    <w:lvl w:ilvl="7" w15:tentative="1">
      <w:start w:val="1"/>
      <w:numFmt w:val="decimal"/>
      <w:lvlText w:val="%8."/>
      <w:lvlJc w:val="left"/>
      <w:pPr>
        <w:ind w:left="2880" w:hanging="360"/>
      </w:pPr>
    </w:lvl>
    <w:lvl w:ilvl="8" w15:tentative="1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  <w:lvl w:ilvl="1" w15:tentative="1">
      <w:start w:val="1"/>
      <w:numFmt w:val="bullet"/>
      <w:lvlText w:val="•"/>
      <w:lvlJc w:val="left"/>
      <w:pPr>
        <w:ind w:left="720" w:hanging="360"/>
      </w:pPr>
    </w:lvl>
    <w:lvl w:ilvl="2" w15:tentative="1">
      <w:start w:val="1"/>
      <w:numFmt w:val="bullet"/>
      <w:lvlText w:val="•"/>
      <w:lvlJc w:val="left"/>
      <w:pPr>
        <w:ind w:left="1080" w:hanging="360"/>
      </w:pPr>
    </w:lvl>
    <w:lvl w:ilvl="3" w15:tentative="1">
      <w:start w:val="1"/>
      <w:numFmt w:val="bullet"/>
      <w:lvlText w:val="•"/>
      <w:lvlJc w:val="left"/>
      <w:pPr>
        <w:ind w:left="1440" w:hanging="360"/>
      </w:pPr>
    </w:lvl>
    <w:lvl w:ilvl="4" w15:tentative="1">
      <w:start w:val="1"/>
      <w:numFmt w:val="bullet"/>
      <w:lvlText w:val="•"/>
      <w:lvlJc w:val="left"/>
      <w:pPr>
        <w:ind w:left="1800" w:hanging="360"/>
      </w:pPr>
    </w:lvl>
    <w:lvl w:ilvl="5" w15:tentative="1">
      <w:start w:val="1"/>
      <w:numFmt w:val="bullet"/>
      <w:lvlText w:val="•"/>
      <w:lvlJc w:val="left"/>
      <w:pPr>
        <w:ind w:left="2160" w:hanging="360"/>
      </w:pPr>
    </w:lvl>
    <w:lvl w:ilvl="6" w15:tentative="1">
      <w:start w:val="1"/>
      <w:numFmt w:val="bullet"/>
      <w:lvlText w:val="•"/>
      <w:lvlJc w:val="left"/>
      <w:pPr>
        <w:ind w:left="2520" w:hanging="360"/>
      </w:pPr>
    </w:lvl>
    <w:lvl w:ilvl="7" w15:tentative="1">
      <w:start w:val="1"/>
      <w:numFmt w:val="bullet"/>
      <w:lvlText w:val="•"/>
      <w:lvlJc w:val="left"/>
      <w:pPr>
        <w:ind w:left="2880" w:hanging="360"/>
      </w:pPr>
    </w:lvl>
    <w:lvl w:ilvl="8" w15:tentative="1">
      <w:start w:val="1"/>
      <w:numFmt w:val="bullet"/>
      <w:lvlText w:val="•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defaultTabStop w:val="200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docDefaults>
    <w:rPrDefault>
      <w:rPr>
        <w:rFonts w:asciiTheme="minorHAnsi" w:eastAsiaTheme="minorHAnsi" w:hAnsiTheme="minorHAnsi" w:cstheme="minorBidi"/>
        <w:kern w:val="2"/>
        <w:sz w:val="24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6B8"/>
    <w:pPr>
      <w:adjustRightInd w:val="0"/>
      <w:spacing w:before="45" w:after="45" w:line="360" w:lineRule="auto"/>
    </w:pPr>
    <w:rPr>
      <w:rFonts w:ascii="Inter" w:cs="Inter" w:eastAsia="Inter" w:hAnsi="Inter"/>
    </w:rPr>
  </w:style>
  <w:style w:type="paragraph" w:styleId="Heading1">
    <w:name w:val="heading 1"/>
    <w:basedOn w:val="Normal"/>
    <w:next w:val="Normal"/>
    <w:link w:val="Heading1Char"/>
    <w:uiPriority w:val="9"/>
    <w:rsid w:val="00D078F7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B06B8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6B8"/>
    <w:pPr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character" w:customStyle="1" w:styleId="VerbatimChar">
    <w:name w:val="Verbatim Char"/>
    <w:basedOn w:val="DefaultParagraphFont"/>
    <w:rPr>
      <w:rFonts w:ascii="GeistMono" w:cs="GeistMono" w:eastAsia="GeistMono" w:hAnsi="GeistMono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8F7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B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4863"/>
    <w:rPr>
      <w:color w:val="0000E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86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64863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SourceCode">
    <w:name w:val="Source Code"/>
    <w:basedOn w:val="Normal"/>
    <w:link w:val="VerbatimChar"/>
    <w:pPr>
      <w:shd w:val="solid" w:color="161616" w:fill="161616"/>
    </w:pPr>
    <w:rPr>
      <w:noProof/>
      <w:wordWrap w:val="off"/>
      <w:color w:val="ffffff"/>
      <w:rFonts w:ascii="GeistMono" w:cs="GeistMono" w:eastAsia="GeistMono" w:hAnsi="GeistMono"/>
    </w:rPr>
  </w:style>
  <w:style w:type="paragraph" w:styleId="BlockQuote">
    <w:name w:val="Block Quote"/>
    <w:basedOn w:val="Normal"/>
    <w:next w:val="Normal"/>
    <w:uiPriority w:val="9"/>
    <w:unhideWhenUsed/>
    <w:qFormat/>
    <w:pPr>
      <w:pBdr>
        <w:left w:val="single" w:color="7D797A" w:sz="8" w:space="100"/>
      </w:pBdr>
    </w:p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fonts/Inter.odttf"/><Relationship Id="rId2" Type="http://schemas.openxmlformats.org/officeDocument/2006/relationships/font" Target="fonts/GeistMono.odttf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Brainstorming exemple</dc:title>
  <dc:creator>Un-named</dc:creator>
  <cp:lastModifiedBy>Un-named</cp:lastModifiedBy>
  <cp:revision>1</cp:revision>
  <dcterms:created xsi:type="dcterms:W3CDTF">2026-06-09T15:09:57.586Z</dcterms:created>
  <dcterms:modified xsi:type="dcterms:W3CDTF">2026-06-09T15:09:57.586Z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